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3285" w14:textId="77777777" w:rsidR="00D71C7A" w:rsidRPr="00D71C7A" w:rsidRDefault="00D71C7A" w:rsidP="00D71C7A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bookmarkStart w:id="0" w:name="_Toc191570504"/>
      <w:bookmarkStart w:id="1" w:name="_Toc196383197"/>
      <w:r w:rsidRPr="00D71C7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The COLLABORATE Study</w:t>
      </w:r>
    </w:p>
    <w:p w14:paraId="3E3D7BE0" w14:textId="2E4A804E" w:rsidR="003A449E" w:rsidRPr="00E405B9" w:rsidRDefault="004F3CB7" w:rsidP="00D71C7A">
      <w:pPr>
        <w:pStyle w:val="Heading3"/>
        <w:keepLines w:val="0"/>
        <w:spacing w:before="0" w:after="120"/>
        <w:jc w:val="both"/>
        <w:rPr>
          <w:rFonts w:asciiTheme="minorHAnsi" w:hAnsiTheme="minorHAnsi" w:cs="Arial"/>
          <w:b/>
          <w:color w:val="auto"/>
          <w:lang w:val="en-US" w:eastAsia="en-GB"/>
        </w:rPr>
      </w:pPr>
      <w:r w:rsidRPr="00E405B9">
        <w:rPr>
          <w:rFonts w:asciiTheme="minorHAnsi" w:hAnsiTheme="minorHAnsi" w:cs="Arial"/>
          <w:b/>
          <w:color w:val="auto"/>
          <w:lang w:val="en-US" w:eastAsia="en-GB"/>
        </w:rPr>
        <w:t xml:space="preserve">Discretionary </w:t>
      </w:r>
      <w:r w:rsidR="003A449E" w:rsidRPr="00E405B9">
        <w:rPr>
          <w:rFonts w:asciiTheme="minorHAnsi" w:hAnsiTheme="minorHAnsi" w:cs="Arial"/>
          <w:b/>
          <w:color w:val="auto"/>
          <w:lang w:val="en-US" w:eastAsia="en-GB"/>
        </w:rPr>
        <w:t>fortification</w:t>
      </w:r>
      <w:bookmarkEnd w:id="0"/>
      <w:bookmarkEnd w:id="1"/>
    </w:p>
    <w:p w14:paraId="05FF1897" w14:textId="77777777" w:rsidR="00E405B9" w:rsidRDefault="00E405B9" w:rsidP="00D71C7A">
      <w:pPr>
        <w:pStyle w:val="Heading3"/>
        <w:keepLines w:val="0"/>
        <w:spacing w:before="0" w:after="120"/>
        <w:jc w:val="both"/>
        <w:rPr>
          <w:rFonts w:asciiTheme="minorHAnsi" w:hAnsiTheme="minorHAnsi" w:cs="Arial"/>
          <w:b/>
          <w:color w:val="auto"/>
          <w:sz w:val="22"/>
          <w:szCs w:val="22"/>
          <w:lang w:val="en-US" w:eastAsia="en-GB"/>
        </w:rPr>
      </w:pPr>
    </w:p>
    <w:p w14:paraId="6DB08D2A" w14:textId="08904C10" w:rsidR="00DE1022" w:rsidRPr="00D71C7A" w:rsidRDefault="00E405B9" w:rsidP="00D71C7A">
      <w:pPr>
        <w:pStyle w:val="Heading3"/>
        <w:keepLines w:val="0"/>
        <w:spacing w:before="0" w:after="120"/>
        <w:jc w:val="both"/>
        <w:rPr>
          <w:rFonts w:asciiTheme="minorHAnsi" w:hAnsiTheme="minorHAnsi"/>
          <w:b/>
          <w:bCs/>
          <w:color w:val="auto"/>
          <w:sz w:val="22"/>
          <w:szCs w:val="22"/>
          <w:lang w:val="en-US" w:eastAsia="en-GB"/>
        </w:rPr>
      </w:pPr>
      <w:r>
        <w:rPr>
          <w:rFonts w:asciiTheme="minorHAnsi" w:hAnsiTheme="minorHAnsi" w:cs="Arial"/>
          <w:b/>
          <w:color w:val="auto"/>
          <w:sz w:val="22"/>
          <w:szCs w:val="22"/>
          <w:lang w:val="en-US" w:eastAsia="en-GB"/>
        </w:rPr>
        <w:t>1</w:t>
      </w:r>
      <w:r>
        <w:rPr>
          <w:rFonts w:asciiTheme="minorHAnsi" w:hAnsiTheme="minorHAnsi" w:cs="Arial"/>
          <w:b/>
          <w:color w:val="auto"/>
          <w:sz w:val="22"/>
          <w:szCs w:val="22"/>
          <w:lang w:val="en-US" w:eastAsia="en-GB"/>
        </w:rPr>
        <w:tab/>
      </w:r>
      <w:r w:rsidR="00D71C7A" w:rsidRPr="00D71C7A">
        <w:rPr>
          <w:rFonts w:asciiTheme="minorHAnsi" w:hAnsiTheme="minorHAnsi" w:cs="Arial"/>
          <w:b/>
          <w:color w:val="auto"/>
          <w:sz w:val="22"/>
          <w:szCs w:val="22"/>
          <w:lang w:val="en-US" w:eastAsia="en-GB"/>
        </w:rPr>
        <w:t xml:space="preserve">Summary of the </w:t>
      </w:r>
      <w:r w:rsidR="00DE1022" w:rsidRPr="00D71C7A">
        <w:rPr>
          <w:rFonts w:asciiTheme="minorHAnsi" w:hAnsiTheme="minorHAnsi" w:cs="Arial"/>
          <w:b/>
          <w:color w:val="auto"/>
          <w:sz w:val="22"/>
          <w:szCs w:val="22"/>
          <w:lang w:val="en-US" w:eastAsia="en-GB"/>
        </w:rPr>
        <w:t>rationale for COLLBORATE randomisation 2</w:t>
      </w:r>
      <w:r w:rsidR="00D71C7A" w:rsidRPr="00D71C7A">
        <w:rPr>
          <w:rFonts w:asciiTheme="minorHAnsi" w:hAnsiTheme="minorHAnsi" w:cs="Arial"/>
          <w:b/>
          <w:color w:val="auto"/>
          <w:sz w:val="22"/>
          <w:szCs w:val="22"/>
          <w:lang w:val="en-US" w:eastAsia="en-GB"/>
        </w:rPr>
        <w:t xml:space="preserve"> (f</w:t>
      </w:r>
      <w:r w:rsidR="00DE1022" w:rsidRPr="00D71C7A">
        <w:rPr>
          <w:rFonts w:asciiTheme="minorHAnsi" w:hAnsiTheme="minorHAnsi"/>
          <w:b/>
          <w:bCs/>
          <w:color w:val="auto"/>
          <w:sz w:val="22"/>
          <w:szCs w:val="22"/>
          <w:lang w:val="en-US" w:eastAsia="en-GB"/>
        </w:rPr>
        <w:t>or a detailed description of the rationale for COLLABORATE, please refer to the full study protocol</w:t>
      </w:r>
      <w:r w:rsidR="00C32A7F">
        <w:rPr>
          <w:rFonts w:asciiTheme="minorHAnsi" w:hAnsiTheme="minorHAnsi"/>
          <w:b/>
          <w:bCs/>
          <w:color w:val="auto"/>
          <w:sz w:val="22"/>
          <w:szCs w:val="22"/>
          <w:lang w:val="en-US" w:eastAsia="en-GB"/>
        </w:rPr>
        <w:t xml:space="preserve"> available on the study </w:t>
      </w:r>
      <w:hyperlink r:id="rId7" w:history="1">
        <w:r w:rsidR="00C32A7F" w:rsidRPr="00782141">
          <w:rPr>
            <w:rStyle w:val="Hyperlink"/>
            <w:rFonts w:asciiTheme="minorHAnsi" w:hAnsiTheme="minorHAnsi"/>
            <w:b/>
            <w:bCs/>
            <w:sz w:val="22"/>
            <w:szCs w:val="22"/>
            <w:lang w:val="en-US" w:eastAsia="en-GB"/>
          </w:rPr>
          <w:t>website</w:t>
        </w:r>
      </w:hyperlink>
      <w:r w:rsidR="00782141">
        <w:rPr>
          <w:rFonts w:asciiTheme="minorHAnsi" w:hAnsiTheme="minorHAnsi"/>
          <w:b/>
          <w:bCs/>
          <w:color w:val="auto"/>
          <w:sz w:val="22"/>
          <w:szCs w:val="22"/>
          <w:lang w:val="en-US" w:eastAsia="en-GB"/>
        </w:rPr>
        <w:t xml:space="preserve">. </w:t>
      </w:r>
    </w:p>
    <w:p w14:paraId="61488CD9" w14:textId="4CA15812" w:rsidR="00E43931" w:rsidRPr="00D71C7A" w:rsidRDefault="00E43931" w:rsidP="00D71C7A">
      <w:pPr>
        <w:pStyle w:val="Heading3"/>
        <w:keepLines w:val="0"/>
        <w:spacing w:before="0" w:after="120"/>
        <w:jc w:val="both"/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</w:pPr>
      <w:r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>COLLABORATE r</w:t>
      </w:r>
      <w:r w:rsidR="001B4547"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 xml:space="preserve">andomisation 2 is designed to </w:t>
      </w:r>
      <w:r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 xml:space="preserve">resolve </w:t>
      </w:r>
      <w:r w:rsidR="008B5C10"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 xml:space="preserve">the </w:t>
      </w:r>
      <w:r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>uncertainty around w</w:t>
      </w:r>
      <w:r w:rsidR="001B4547"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 xml:space="preserve">hether </w:t>
      </w:r>
      <w:r w:rsidR="001B4547" w:rsidRPr="00D71C7A">
        <w:rPr>
          <w:rFonts w:asciiTheme="minorHAnsi" w:hAnsiTheme="minorHAnsi" w:cs="Arial"/>
          <w:b/>
          <w:color w:val="auto"/>
          <w:sz w:val="22"/>
          <w:szCs w:val="22"/>
          <w:lang w:val="en-US" w:eastAsia="en-GB"/>
        </w:rPr>
        <w:t xml:space="preserve">routine </w:t>
      </w:r>
      <w:r w:rsidR="001B4547"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 xml:space="preserve">protein-carbohydrate fortification of human milk feeds is </w:t>
      </w:r>
      <w:r w:rsidR="00FA409D"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 xml:space="preserve">safe and </w:t>
      </w:r>
      <w:r w:rsidR="001B4547"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>beneficial</w:t>
      </w:r>
      <w:r w:rsidR="003A449E" w:rsidRPr="00D71C7A">
        <w:rPr>
          <w:rFonts w:asciiTheme="minorHAnsi" w:hAnsiTheme="minorHAnsi" w:cs="Arial"/>
          <w:bCs/>
          <w:color w:val="auto"/>
          <w:sz w:val="22"/>
          <w:szCs w:val="22"/>
          <w:lang w:val="en-US" w:eastAsia="en-GB"/>
        </w:rPr>
        <w:t xml:space="preserve">. </w:t>
      </w:r>
    </w:p>
    <w:p w14:paraId="1811DD71" w14:textId="22C2B344" w:rsidR="00D71C7A" w:rsidRPr="00D71C7A" w:rsidRDefault="00D71C7A" w:rsidP="00D71C7A">
      <w:pPr>
        <w:pStyle w:val="ListParagraph"/>
        <w:numPr>
          <w:ilvl w:val="0"/>
          <w:numId w:val="3"/>
        </w:numPr>
        <w:ind w:left="426" w:hanging="284"/>
        <w:contextualSpacing w:val="0"/>
        <w:rPr>
          <w:rFonts w:asciiTheme="minorHAnsi" w:hAnsiTheme="minorHAnsi" w:cs="Arial"/>
          <w:bCs/>
          <w:sz w:val="22"/>
          <w:szCs w:val="22"/>
          <w:lang w:val="en-US" w:eastAsia="en-GB"/>
        </w:rPr>
      </w:pP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Routine fortification can achieve faster short-term growth, but no randomised trial to date has shown any benefit on long-term growth, bone health, or neurodevelopment (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>1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)</w:t>
      </w:r>
    </w:p>
    <w:p w14:paraId="4D032DD6" w14:textId="5EAB0231" w:rsidR="00E405B9" w:rsidRDefault="00E405B9" w:rsidP="00E405B9">
      <w:pPr>
        <w:pStyle w:val="ListParagraph"/>
        <w:numPr>
          <w:ilvl w:val="0"/>
          <w:numId w:val="3"/>
        </w:numPr>
        <w:ind w:left="426" w:hanging="284"/>
        <w:contextualSpacing w:val="0"/>
        <w:rPr>
          <w:rFonts w:asciiTheme="minorHAnsi" w:hAnsiTheme="minorHAnsi" w:cs="Arial"/>
          <w:bCs/>
          <w:sz w:val="22"/>
          <w:szCs w:val="22"/>
          <w:lang w:val="en-US" w:eastAsia="en-GB"/>
        </w:rPr>
      </w:pP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Routine fortification </w:t>
      </w:r>
      <w:r w:rsidR="00782141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may 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be harmful because this can deliver a protein intake of greater than 3.5g/kg/day which is a risk factor for adverse neurodevelopment and metabolic health (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>2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)</w:t>
      </w:r>
    </w:p>
    <w:p w14:paraId="59C15305" w14:textId="77777777" w:rsidR="00782141" w:rsidRPr="00D71C7A" w:rsidRDefault="00782141" w:rsidP="00782141">
      <w:pPr>
        <w:pStyle w:val="ListParagraph"/>
        <w:ind w:left="426"/>
        <w:contextualSpacing w:val="0"/>
        <w:rPr>
          <w:rFonts w:asciiTheme="minorHAnsi" w:hAnsiTheme="minorHAnsi" w:cs="Arial"/>
          <w:bCs/>
          <w:sz w:val="22"/>
          <w:szCs w:val="22"/>
          <w:lang w:val="en-US" w:eastAsia="en-GB"/>
        </w:rPr>
      </w:pPr>
    </w:p>
    <w:p w14:paraId="4BFDCEB0" w14:textId="28A9C06A" w:rsidR="003A449E" w:rsidRPr="00D71C7A" w:rsidRDefault="00E405B9" w:rsidP="00D71C7A">
      <w:pPr>
        <w:rPr>
          <w:rFonts w:asciiTheme="minorHAnsi" w:hAnsiTheme="minorHAnsi" w:cs="Arial"/>
          <w:b/>
          <w:sz w:val="22"/>
          <w:szCs w:val="22"/>
          <w:lang w:val="en-US" w:eastAsia="en-GB"/>
        </w:rPr>
      </w:pPr>
      <w:r>
        <w:rPr>
          <w:rFonts w:asciiTheme="minorHAnsi" w:hAnsiTheme="minorHAnsi" w:cs="Arial"/>
          <w:b/>
          <w:sz w:val="22"/>
          <w:szCs w:val="22"/>
          <w:lang w:val="en-US" w:eastAsia="en-GB"/>
        </w:rPr>
        <w:t>2</w:t>
      </w:r>
      <w:r>
        <w:rPr>
          <w:rFonts w:asciiTheme="minorHAnsi" w:hAnsiTheme="minorHAnsi" w:cs="Arial"/>
          <w:b/>
          <w:sz w:val="22"/>
          <w:szCs w:val="22"/>
          <w:lang w:val="en-US" w:eastAsia="en-GB"/>
        </w:rPr>
        <w:tab/>
      </w:r>
      <w:r w:rsidR="003A449E" w:rsidRPr="00D71C7A">
        <w:rPr>
          <w:rFonts w:asciiTheme="minorHAnsi" w:hAnsiTheme="minorHAnsi" w:cs="Arial"/>
          <w:b/>
          <w:sz w:val="22"/>
          <w:szCs w:val="22"/>
          <w:lang w:val="en-US" w:eastAsia="en-GB"/>
        </w:rPr>
        <w:t>Faster growth is not necessarily better growth</w:t>
      </w:r>
    </w:p>
    <w:p w14:paraId="246D92C8" w14:textId="77777777" w:rsidR="00782141" w:rsidRDefault="00936E75" w:rsidP="00D71C7A">
      <w:pPr>
        <w:rPr>
          <w:rFonts w:asciiTheme="minorHAnsi" w:hAnsiTheme="minorHAnsi" w:cs="Arial"/>
          <w:bCs/>
          <w:sz w:val="22"/>
          <w:szCs w:val="22"/>
          <w:lang w:val="en-US" w:eastAsia="en-GB"/>
        </w:rPr>
      </w:pP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Regardless of feed type (unfortified human milk, fortified human milk, formula supplemented human milk), healthy, very preterm babies surviving without major morbidity, converge to follow intrauterine growth </w:t>
      </w:r>
      <w:r w:rsidRPr="00D71C7A">
        <w:rPr>
          <w:rFonts w:asciiTheme="minorHAnsi" w:hAnsiTheme="minorHAnsi" w:cs="Arial"/>
          <w:b/>
          <w:sz w:val="22"/>
          <w:szCs w:val="22"/>
          <w:lang w:val="en-US" w:eastAsia="en-GB"/>
        </w:rPr>
        <w:t>velocity</w:t>
      </w:r>
      <w:r w:rsidR="00E405B9">
        <w:rPr>
          <w:rFonts w:asciiTheme="minorHAnsi" w:hAnsiTheme="minorHAnsi" w:cs="Arial"/>
          <w:b/>
          <w:sz w:val="22"/>
          <w:szCs w:val="22"/>
          <w:lang w:val="en-US" w:eastAsia="en-GB"/>
        </w:rPr>
        <w:t xml:space="preserve"> </w:t>
      </w:r>
      <w:r w:rsidR="00E405B9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>(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3, </w:t>
      </w:r>
      <w:r w:rsidR="00E405B9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>4)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. </w:t>
      </w:r>
      <w:r w:rsidR="00E405B9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Most babies born preterm will have experienced a degree of fetal growth restriction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. 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Therefor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>e,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an extremely preterm baby following intrauterine </w:t>
      </w:r>
      <w:r w:rsidRPr="00D71C7A">
        <w:rPr>
          <w:rFonts w:asciiTheme="minorHAnsi" w:hAnsiTheme="minorHAnsi" w:cs="Arial"/>
          <w:b/>
          <w:sz w:val="22"/>
          <w:szCs w:val="22"/>
          <w:lang w:val="en-US" w:eastAsia="en-GB"/>
        </w:rPr>
        <w:t xml:space="preserve">velocity 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will weigh less at term-equivalent age than a baby born at full-term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and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will be below birth centile</w:t>
      </w:r>
      <w:bookmarkStart w:id="2" w:name="_Hlk212249464"/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. </w:t>
      </w:r>
    </w:p>
    <w:p w14:paraId="67FA4737" w14:textId="0CD825CC" w:rsidR="00E405B9" w:rsidRPr="00E405B9" w:rsidRDefault="00782141" w:rsidP="00E405B9">
      <w:pPr>
        <w:rPr>
          <w:rFonts w:asciiTheme="minorHAnsi" w:hAnsiTheme="minorHAnsi" w:cs="Arial"/>
          <w:bCs/>
          <w:sz w:val="22"/>
          <w:szCs w:val="22"/>
          <w:lang w:val="en-US" w:eastAsia="en-GB"/>
        </w:rPr>
      </w:pPr>
      <w:r>
        <w:rPr>
          <w:rFonts w:asciiTheme="minorHAnsi" w:hAnsiTheme="minorHAnsi" w:cs="Arial"/>
          <w:bCs/>
          <w:sz w:val="22"/>
          <w:szCs w:val="22"/>
          <w:lang w:val="en-US" w:eastAsia="en-GB"/>
        </w:rPr>
        <w:t>T</w:t>
      </w:r>
      <w:r w:rsidR="0071799B">
        <w:rPr>
          <w:rFonts w:asciiTheme="minorHAnsi" w:hAnsiTheme="minorHAnsi" w:cs="Arial"/>
          <w:bCs/>
          <w:sz w:val="22"/>
          <w:szCs w:val="22"/>
          <w:lang w:val="en-US" w:eastAsia="en-GB"/>
        </w:rPr>
        <w:t>he optimum rate of growth following preterm birth is unknown.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</w:t>
      </w:r>
      <w:bookmarkEnd w:id="2"/>
      <w:r w:rsidR="0071799B">
        <w:rPr>
          <w:rFonts w:asciiTheme="minorHAnsi" w:hAnsiTheme="minorHAnsi" w:cs="Arial"/>
          <w:bCs/>
          <w:sz w:val="22"/>
          <w:szCs w:val="22"/>
          <w:lang w:val="en-US" w:eastAsia="en-GB"/>
        </w:rPr>
        <w:t>However, s</w:t>
      </w:r>
      <w:r w:rsidR="00DE1022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>triving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for a baby born very preterm t</w:t>
      </w:r>
      <w:r w:rsidR="00FA409D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>o reach the size of a baby born at full-ter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>m, as depicted by current birth weight charts (incorrectly term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>ed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“growth” charts)</w:t>
      </w:r>
      <w:r w:rsidR="00FA409D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is to 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promote </w:t>
      </w:r>
      <w:r w:rsidR="00FA409D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growth 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at a rate </w:t>
      </w:r>
      <w:r w:rsidR="00936E75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greater than </w:t>
      </w:r>
      <w:r w:rsidR="00FA409D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>intrauterine velocity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(accelerated growth). </w:t>
      </w:r>
      <w:r w:rsidR="00E405B9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>Most extremely preterm babies have suffered some degree of fetal growth restriction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. </w:t>
      </w:r>
      <w:r w:rsidR="00E405B9">
        <w:rPr>
          <w:rFonts w:asciiTheme="minorHAnsi" w:hAnsiTheme="minorHAnsi" w:cs="Arial"/>
          <w:bCs/>
          <w:sz w:val="22"/>
          <w:szCs w:val="22"/>
          <w:lang w:val="en-US" w:eastAsia="en-GB"/>
        </w:rPr>
        <w:t>Accelerated growth</w:t>
      </w:r>
      <w:r w:rsidR="00E405B9" w:rsidRPr="00E405B9">
        <w:rPr>
          <w:rFonts w:asciiTheme="minorHAnsi" w:hAnsiTheme="minorHAnsi" w:cs="Arial"/>
          <w:bCs/>
          <w:sz w:val="22"/>
          <w:szCs w:val="22"/>
          <w:lang w:val="en-US" w:eastAsia="en-GB"/>
        </w:rPr>
        <w:t>, especially after a period of growth restriction, is also a risk factor for adverse cardiometabolic health.</w:t>
      </w:r>
    </w:p>
    <w:p w14:paraId="1381C2D8" w14:textId="77777777" w:rsidR="00782141" w:rsidRDefault="00782141" w:rsidP="00E405B9">
      <w:pPr>
        <w:rPr>
          <w:rFonts w:asciiTheme="minorHAnsi" w:hAnsiTheme="minorHAnsi" w:cs="Arial"/>
          <w:b/>
          <w:sz w:val="22"/>
          <w:szCs w:val="22"/>
          <w:lang w:val="en-US" w:eastAsia="en-GB"/>
        </w:rPr>
      </w:pPr>
    </w:p>
    <w:p w14:paraId="5D72A5DA" w14:textId="689ABE41" w:rsidR="00E405B9" w:rsidRPr="00E405B9" w:rsidRDefault="00E405B9" w:rsidP="00E405B9">
      <w:pPr>
        <w:rPr>
          <w:rFonts w:asciiTheme="minorHAnsi" w:hAnsiTheme="minorHAnsi" w:cs="Arial"/>
          <w:b/>
          <w:sz w:val="22"/>
          <w:szCs w:val="22"/>
          <w:lang w:val="en-US" w:eastAsia="en-GB"/>
        </w:rPr>
      </w:pPr>
      <w:r>
        <w:rPr>
          <w:rFonts w:asciiTheme="minorHAnsi" w:hAnsiTheme="minorHAnsi" w:cs="Arial"/>
          <w:b/>
          <w:sz w:val="22"/>
          <w:szCs w:val="22"/>
          <w:lang w:val="en-US" w:eastAsia="en-GB"/>
        </w:rPr>
        <w:t>3</w:t>
      </w:r>
      <w:r>
        <w:rPr>
          <w:rFonts w:asciiTheme="minorHAnsi" w:hAnsiTheme="minorHAnsi" w:cs="Arial"/>
          <w:b/>
          <w:sz w:val="22"/>
          <w:szCs w:val="22"/>
          <w:lang w:val="en-US" w:eastAsia="en-GB"/>
        </w:rPr>
        <w:tab/>
        <w:t>N</w:t>
      </w:r>
      <w:r w:rsidRPr="00E405B9">
        <w:rPr>
          <w:rFonts w:asciiTheme="minorHAnsi" w:hAnsiTheme="minorHAnsi" w:cs="Arial"/>
          <w:b/>
          <w:sz w:val="22"/>
          <w:szCs w:val="22"/>
          <w:lang w:val="en-US" w:eastAsia="en-GB"/>
        </w:rPr>
        <w:t>on-nutritional benefits of Own Mother’s Milk</w:t>
      </w:r>
    </w:p>
    <w:p w14:paraId="01C61B85" w14:textId="63F7BE17" w:rsidR="00E405B9" w:rsidRPr="00D71C7A" w:rsidRDefault="00E405B9" w:rsidP="00E405B9">
      <w:pPr>
        <w:rPr>
          <w:rFonts w:asciiTheme="minorHAnsi" w:hAnsiTheme="minorHAnsi" w:cs="Arial"/>
          <w:bCs/>
          <w:sz w:val="22"/>
          <w:szCs w:val="22"/>
          <w:lang w:val="en-US" w:eastAsia="en-GB"/>
        </w:rPr>
      </w:pP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To maximise the benefits of the non-nutritional components, the aim in COLLABORATE is to pro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>mote maximum availability of Own Mother’s Milk aiming for a total human milk (Own Mother’s Milk and pasteurised Human Donor Milk) of up to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200ml/kg/day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. 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This volume is readily tolerated by the majority of extremely preterm babies and is widely used in the UK (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>5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). </w:t>
      </w:r>
    </w:p>
    <w:p w14:paraId="08A43866" w14:textId="77777777" w:rsidR="00782141" w:rsidRDefault="00782141" w:rsidP="00D71C7A">
      <w:pPr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14:paraId="5DA799BD" w14:textId="0D4A63AD" w:rsidR="002F0B04" w:rsidRPr="00D71C7A" w:rsidRDefault="0071799B" w:rsidP="00D71C7A">
      <w:pPr>
        <w:rPr>
          <w:rFonts w:asciiTheme="minorHAnsi" w:hAnsiTheme="minorHAnsi" w:cs="Arial"/>
          <w:b/>
          <w:sz w:val="22"/>
          <w:szCs w:val="22"/>
          <w:lang w:val="en-US" w:eastAsia="en-GB"/>
        </w:rPr>
      </w:pPr>
      <w:r>
        <w:rPr>
          <w:rFonts w:asciiTheme="minorHAnsi" w:hAnsiTheme="minorHAnsi" w:cs="Arial"/>
          <w:b/>
          <w:sz w:val="22"/>
          <w:szCs w:val="22"/>
          <w:shd w:val="clear" w:color="auto" w:fill="FFFFFF"/>
        </w:rPr>
        <w:t>4</w:t>
      </w:r>
      <w:r>
        <w:rPr>
          <w:rFonts w:asciiTheme="minorHAnsi" w:hAnsiTheme="minorHAnsi" w:cs="Arial"/>
          <w:b/>
          <w:sz w:val="22"/>
          <w:szCs w:val="22"/>
          <w:shd w:val="clear" w:color="auto" w:fill="FFFFFF"/>
        </w:rPr>
        <w:tab/>
      </w:r>
      <w:r w:rsidR="0078214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COLLABORATE </w:t>
      </w:r>
      <w:r w:rsidR="002F0B04" w:rsidRPr="00D71C7A">
        <w:rPr>
          <w:rFonts w:asciiTheme="minorHAnsi" w:hAnsiTheme="minorHAnsi" w:cs="Arial"/>
          <w:b/>
          <w:sz w:val="22"/>
          <w:szCs w:val="22"/>
          <w:shd w:val="clear" w:color="auto" w:fill="FFFFFF"/>
        </w:rPr>
        <w:t>safety monitoring</w:t>
      </w:r>
      <w:r w:rsidR="002F0B04" w:rsidRPr="00D71C7A">
        <w:rPr>
          <w:rFonts w:asciiTheme="minorHAnsi" w:hAnsiTheme="minorHAnsi" w:cs="Arial"/>
          <w:b/>
          <w:sz w:val="22"/>
          <w:szCs w:val="22"/>
          <w:lang w:val="en-US" w:eastAsia="en-GB"/>
        </w:rPr>
        <w:t xml:space="preserve"> </w:t>
      </w:r>
    </w:p>
    <w:p w14:paraId="181016ED" w14:textId="0EF2283C" w:rsidR="002F0B04" w:rsidRPr="00D71C7A" w:rsidRDefault="002F0B04" w:rsidP="00D71C7A">
      <w:pPr>
        <w:pStyle w:val="Protocol-maintext"/>
        <w:jc w:val="left"/>
        <w:rPr>
          <w:rFonts w:asciiTheme="minorHAnsi" w:hAnsiTheme="minorHAnsi" w:cs="Arial"/>
          <w:bCs/>
          <w:sz w:val="22"/>
          <w:szCs w:val="22"/>
          <w:lang w:val="en-US" w:eastAsia="en-GB"/>
        </w:rPr>
      </w:pP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COLLABORATE is a UK Health Research Authority approved </w:t>
      </w:r>
      <w:r w:rsidR="00351296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2-randomisation trial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, funded by the Department of Health through the </w:t>
      </w:r>
      <w:bookmarkStart w:id="3" w:name="_Hlk211314768"/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National Institute of Health Research</w:t>
      </w:r>
      <w:bookmarkEnd w:id="3"/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. 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Participants in random</w:t>
      </w:r>
      <w:r w:rsidR="00351296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is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ed </w:t>
      </w:r>
      <w:r w:rsidR="00351296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controlled 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trials such as COLLABORATE receive careful monitoring </w:t>
      </w:r>
      <w:r w:rsidR="00351296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over and above that received in the course of normal clinical care.  </w:t>
      </w:r>
    </w:p>
    <w:p w14:paraId="03C7AB8A" w14:textId="5B2EC2A6" w:rsidR="002F0B04" w:rsidRDefault="002F0B04" w:rsidP="00D71C7A">
      <w:pPr>
        <w:rPr>
          <w:rFonts w:asciiTheme="minorHAnsi" w:hAnsiTheme="minorHAnsi" w:cs="Arial"/>
          <w:bCs/>
          <w:sz w:val="22"/>
          <w:szCs w:val="22"/>
          <w:lang w:val="en-US" w:eastAsia="en-GB"/>
        </w:rPr>
      </w:pP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Study data will be evaluated 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at intervals </w:t>
      </w:r>
      <w:r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by an independent Data Monitoring Committee 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established by the National Institute of Health Research. The remit of the </w:t>
      </w:r>
      <w:r w:rsidR="00936E75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Data Monitoring 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Committee is to assess accumulating study data in relation to primary and secondary outcomes </w:t>
      </w:r>
      <w:r w:rsidR="00351296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(see full protocol for a full list) 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and any </w:t>
      </w:r>
      <w:r w:rsidR="00A21518" w:rsidRPr="00D71C7A">
        <w:rPr>
          <w:rFonts w:asciiTheme="minorHAnsi" w:hAnsiTheme="minorHAnsi" w:cs="Arial"/>
          <w:sz w:val="22"/>
          <w:szCs w:val="22"/>
        </w:rPr>
        <w:t xml:space="preserve">adverse reactions (untoward responses to a study intervention notified by site Principal Investigators) </w:t>
      </w:r>
      <w:r w:rsidR="00A21518" w:rsidRPr="00D71C7A">
        <w:rPr>
          <w:rFonts w:asciiTheme="minorHAnsi" w:hAnsiTheme="minorHAnsi" w:cs="Arial"/>
          <w:bCs/>
          <w:sz w:val="22"/>
          <w:szCs w:val="22"/>
          <w:lang w:val="en-US" w:eastAsia="en-GB"/>
        </w:rPr>
        <w:t>and advise the Trial Steering Committee on early discontinuation if evidence of harm emerges, or conclusive evidence of benefit.</w:t>
      </w:r>
    </w:p>
    <w:p w14:paraId="72B82E6A" w14:textId="77777777" w:rsidR="00782141" w:rsidRDefault="00782141" w:rsidP="00D71C7A">
      <w:pPr>
        <w:rPr>
          <w:rFonts w:asciiTheme="minorHAnsi" w:hAnsiTheme="minorHAnsi" w:cs="Arial"/>
          <w:bCs/>
          <w:sz w:val="22"/>
          <w:szCs w:val="22"/>
          <w:lang w:val="en-US" w:eastAsia="en-GB"/>
        </w:rPr>
      </w:pPr>
    </w:p>
    <w:p w14:paraId="1CDB4ED5" w14:textId="77777777" w:rsidR="00782141" w:rsidRPr="00D71C7A" w:rsidRDefault="00782141" w:rsidP="00D71C7A">
      <w:pPr>
        <w:rPr>
          <w:rFonts w:asciiTheme="minorHAnsi" w:hAnsiTheme="minorHAnsi" w:cs="Arial"/>
          <w:bCs/>
          <w:sz w:val="22"/>
          <w:szCs w:val="22"/>
          <w:lang w:val="en-US" w:eastAsia="en-GB"/>
        </w:rPr>
      </w:pPr>
    </w:p>
    <w:p w14:paraId="638629F9" w14:textId="79DEADA6" w:rsidR="003A449E" w:rsidRPr="00782141" w:rsidRDefault="003A449E" w:rsidP="00782141">
      <w:pPr>
        <w:pStyle w:val="ListParagraph"/>
        <w:numPr>
          <w:ilvl w:val="0"/>
          <w:numId w:val="9"/>
        </w:numPr>
        <w:ind w:hanging="720"/>
        <w:rPr>
          <w:rFonts w:asciiTheme="minorHAnsi" w:hAnsiTheme="minorHAnsi" w:cs="Arial"/>
          <w:b/>
          <w:sz w:val="22"/>
          <w:szCs w:val="22"/>
          <w:lang w:val="en-US" w:eastAsia="en-GB"/>
        </w:rPr>
      </w:pPr>
      <w:r w:rsidRPr="00782141">
        <w:rPr>
          <w:rFonts w:asciiTheme="minorHAnsi" w:hAnsiTheme="minorHAnsi" w:cs="Arial"/>
          <w:b/>
          <w:sz w:val="22"/>
          <w:szCs w:val="22"/>
          <w:lang w:val="en-US" w:eastAsia="en-GB"/>
        </w:rPr>
        <w:lastRenderedPageBreak/>
        <w:t>When to consider discretionary fortification</w:t>
      </w:r>
    </w:p>
    <w:p w14:paraId="185932D0" w14:textId="2D3623EE" w:rsidR="000748C3" w:rsidRPr="0071799B" w:rsidRDefault="0071799B" w:rsidP="0071799B">
      <w:pPr>
        <w:rPr>
          <w:rFonts w:asciiTheme="minorHAnsi" w:hAnsiTheme="minorHAnsi" w:cs="Arial"/>
          <w:bCs/>
          <w:sz w:val="22"/>
          <w:szCs w:val="22"/>
          <w:lang w:val="en-US" w:eastAsia="en-GB"/>
        </w:rPr>
      </w:pPr>
      <w:r w:rsidRPr="0071799B">
        <w:rPr>
          <w:rFonts w:asciiTheme="minorHAnsi" w:hAnsiTheme="minorHAnsi" w:cs="Arial"/>
          <w:b/>
          <w:sz w:val="22"/>
          <w:szCs w:val="22"/>
          <w:lang w:val="en-US" w:eastAsia="en-GB"/>
        </w:rPr>
        <w:t>5.1</w:t>
      </w:r>
      <w:r>
        <w:rPr>
          <w:rFonts w:asciiTheme="minorHAnsi" w:hAnsiTheme="minorHAnsi" w:cs="Arial"/>
          <w:bCs/>
          <w:sz w:val="22"/>
          <w:szCs w:val="22"/>
          <w:lang w:val="en-US" w:eastAsia="en-GB"/>
        </w:rPr>
        <w:tab/>
      </w:r>
      <w:r w:rsidR="00C32A7F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Experience from the COLLABORATE feasibility study, PREMFOOD, indicates that the</w:t>
      </w:r>
      <w:r w:rsidR="00782141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need </w:t>
      </w:r>
      <w:r w:rsidR="00C32A7F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for rescue fortification is likely to be minimal (</w:t>
      </w:r>
      <w:r w:rsidR="00C32A7F">
        <w:rPr>
          <w:rFonts w:asciiTheme="minorHAnsi" w:hAnsiTheme="minorHAnsi" w:cs="Arial"/>
          <w:bCs/>
          <w:sz w:val="22"/>
          <w:szCs w:val="22"/>
          <w:shd w:val="clear" w:color="auto" w:fill="FFFFFF"/>
        </w:rPr>
        <w:t>6</w:t>
      </w:r>
      <w:r w:rsidR="00C32A7F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).</w:t>
      </w:r>
      <w:r w:rsidR="00C32A7F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However, c</w:t>
      </w:r>
      <w:r w:rsidR="00C32A7F" w:rsidRPr="0071799B">
        <w:rPr>
          <w:rFonts w:asciiTheme="minorHAnsi" w:hAnsiTheme="minorHAnsi" w:cs="Arial"/>
          <w:bCs/>
          <w:sz w:val="22"/>
          <w:szCs w:val="22"/>
          <w:lang w:val="en-US" w:eastAsia="en-GB"/>
        </w:rPr>
        <w:t>linicians</w:t>
      </w:r>
      <w:r w:rsidR="000748C3" w:rsidRPr="0071799B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 may consider discretionary use of fortifier in babies participating in </w:t>
      </w:r>
      <w:r w:rsidR="00E43931" w:rsidRPr="0071799B">
        <w:rPr>
          <w:rFonts w:asciiTheme="minorHAnsi" w:hAnsiTheme="minorHAnsi" w:cs="Arial"/>
          <w:bCs/>
          <w:sz w:val="22"/>
          <w:szCs w:val="22"/>
          <w:lang w:val="en-US" w:eastAsia="en-GB"/>
        </w:rPr>
        <w:t xml:space="preserve">COLLABORATE </w:t>
      </w:r>
      <w:r w:rsidR="000748C3" w:rsidRPr="0071799B">
        <w:rPr>
          <w:rFonts w:asciiTheme="minorHAnsi" w:hAnsiTheme="minorHAnsi" w:cs="Arial"/>
          <w:bCs/>
          <w:sz w:val="22"/>
          <w:szCs w:val="22"/>
          <w:lang w:val="en-US" w:eastAsia="en-GB"/>
        </w:rPr>
        <w:t>randomisation 2 if the following conditions apply:</w:t>
      </w:r>
    </w:p>
    <w:p w14:paraId="30FF1780" w14:textId="395DE655" w:rsidR="000748C3" w:rsidRPr="00D71C7A" w:rsidRDefault="000748C3" w:rsidP="00D71C7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If 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after regaining birth weight,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a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nd receiving a human milk intake of 180ml/kg/day or more, a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baby shows a 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persistent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downward crossing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of </w:t>
      </w:r>
      <w:r w:rsidR="0071799B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anthropometric 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centiles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</w:t>
      </w:r>
      <w:r w:rsidR="00FB2854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over a t</w:t>
      </w:r>
      <w:r w:rsidR="00AE0948">
        <w:rPr>
          <w:rFonts w:asciiTheme="minorHAnsi" w:hAnsiTheme="minorHAnsi" w:cs="Arial"/>
          <w:bCs/>
          <w:sz w:val="22"/>
          <w:szCs w:val="22"/>
          <w:shd w:val="clear" w:color="auto" w:fill="FFFFFF"/>
        </w:rPr>
        <w:t>en-day</w:t>
      </w:r>
      <w:r w:rsidR="00FB2854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period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on the UK Neonatal and Infant Close Monitoring growth chart</w:t>
      </w:r>
    </w:p>
    <w:p w14:paraId="4BC91A2C" w14:textId="77777777" w:rsidR="00E43931" w:rsidRPr="00782141" w:rsidRDefault="00E43931" w:rsidP="00D71C7A">
      <w:pPr>
        <w:pStyle w:val="ListParagraph"/>
        <w:contextualSpacing w:val="0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782141">
        <w:rPr>
          <w:rFonts w:asciiTheme="minorHAnsi" w:hAnsiTheme="minorHAnsi" w:cs="Arial"/>
          <w:b/>
          <w:sz w:val="22"/>
          <w:szCs w:val="22"/>
          <w:shd w:val="clear" w:color="auto" w:fill="FFFFFF"/>
        </w:rPr>
        <w:t>AND</w:t>
      </w:r>
    </w:p>
    <w:p w14:paraId="45355D58" w14:textId="54D36A44" w:rsidR="000748C3" w:rsidRPr="00D71C7A" w:rsidRDefault="000748C3" w:rsidP="00D71C7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The </w:t>
      </w:r>
      <w:r w:rsidR="0071799B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trend in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blood urea is </w:t>
      </w:r>
      <w:r w:rsidR="0071799B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falling, with a value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below 1.5 mmol/l indicating no protein excess and </w:t>
      </w:r>
      <w:r w:rsidR="0071799B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likely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protein deficiency</w:t>
      </w:r>
    </w:p>
    <w:p w14:paraId="5C8008BF" w14:textId="77777777" w:rsidR="00E43931" w:rsidRPr="00782141" w:rsidRDefault="00E43931" w:rsidP="00D71C7A">
      <w:pPr>
        <w:pStyle w:val="ListParagraph"/>
        <w:contextualSpacing w:val="0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78214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AND </w:t>
      </w:r>
    </w:p>
    <w:p w14:paraId="275892D6" w14:textId="2D17A3F4" w:rsidR="0071799B" w:rsidRPr="0071799B" w:rsidRDefault="000748C3" w:rsidP="00D71C7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Chronic sodium depletion has been excluded: 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this is </w:t>
      </w:r>
      <w:r w:rsidRPr="00D71C7A">
        <w:rPr>
          <w:rFonts w:asciiTheme="minorHAnsi" w:hAnsiTheme="minorHAnsi" w:cs="Arial"/>
          <w:bCs/>
          <w:sz w:val="22"/>
          <w:szCs w:val="22"/>
        </w:rPr>
        <w:t xml:space="preserve">manifest by a slowing of weight gain despite a human milk of 180ml/kg/day </w:t>
      </w:r>
      <w:r w:rsidR="00E43931" w:rsidRPr="00D71C7A">
        <w:rPr>
          <w:rFonts w:asciiTheme="minorHAnsi" w:hAnsiTheme="minorHAnsi" w:cs="Arial"/>
          <w:bCs/>
          <w:sz w:val="22"/>
          <w:szCs w:val="22"/>
        </w:rPr>
        <w:t>or more</w:t>
      </w:r>
    </w:p>
    <w:p w14:paraId="2B4ADCA0" w14:textId="4BF2566B" w:rsidR="000748C3" w:rsidRPr="00C32A7F" w:rsidRDefault="00C32A7F" w:rsidP="00C32A7F">
      <w:pPr>
        <w:pStyle w:val="ListParagraph"/>
        <w:contextualSpacing w:val="0"/>
        <w:rPr>
          <w:rFonts w:asciiTheme="minorHAnsi" w:hAnsiTheme="minorHAnsi" w:cs="Arial"/>
          <w:bCs/>
          <w:i/>
          <w:iCs/>
          <w:sz w:val="22"/>
          <w:szCs w:val="22"/>
          <w:shd w:val="clear" w:color="auto" w:fill="FFFFFF"/>
        </w:rPr>
      </w:pPr>
      <w:r w:rsidRPr="00C32A7F">
        <w:rPr>
          <w:rFonts w:asciiTheme="minorHAnsi" w:hAnsiTheme="minorHAnsi" w:cs="Arial"/>
          <w:bCs/>
          <w:i/>
          <w:iCs/>
          <w:sz w:val="22"/>
          <w:szCs w:val="22"/>
        </w:rPr>
        <w:t>*</w:t>
      </w:r>
      <w:r w:rsidR="00B453B9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Note: the </w:t>
      </w:r>
      <w:r w:rsidR="000748C3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serum sodium concentration </w:t>
      </w:r>
      <w:r w:rsidR="0071799B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in early deficiency will be </w:t>
      </w:r>
      <w:r w:rsidR="000748C3" w:rsidRPr="00C32A7F">
        <w:rPr>
          <w:rFonts w:asciiTheme="minorHAnsi" w:hAnsiTheme="minorHAnsi" w:cs="Arial"/>
          <w:bCs/>
          <w:i/>
          <w:iCs/>
          <w:sz w:val="22"/>
          <w:szCs w:val="22"/>
        </w:rPr>
        <w:t>normal</w:t>
      </w:r>
      <w:r w:rsidR="00B41CF4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 (</w:t>
      </w:r>
      <w:r>
        <w:rPr>
          <w:rFonts w:asciiTheme="minorHAnsi" w:hAnsiTheme="minorHAnsi" w:cs="Arial"/>
          <w:bCs/>
          <w:i/>
          <w:iCs/>
          <w:sz w:val="22"/>
          <w:szCs w:val="22"/>
        </w:rPr>
        <w:t>7</w:t>
      </w:r>
      <w:r w:rsidR="00B41CF4" w:rsidRPr="00C32A7F">
        <w:rPr>
          <w:rFonts w:asciiTheme="minorHAnsi" w:hAnsiTheme="minorHAnsi" w:cs="Arial"/>
          <w:bCs/>
          <w:i/>
          <w:iCs/>
          <w:sz w:val="22"/>
          <w:szCs w:val="22"/>
        </w:rPr>
        <w:t>). The urinary sodium concentration is generally unhelpful in evaluating the possibility of sodium depletion in extremely preterm babies. The diagnosis</w:t>
      </w:r>
      <w:r w:rsidR="00782141">
        <w:rPr>
          <w:rFonts w:asciiTheme="minorHAnsi" w:hAnsiTheme="minorHAnsi" w:cs="Arial"/>
          <w:bCs/>
          <w:i/>
          <w:iCs/>
          <w:sz w:val="22"/>
          <w:szCs w:val="22"/>
        </w:rPr>
        <w:t xml:space="preserve"> may be </w:t>
      </w:r>
      <w:r w:rsidR="00B41CF4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corroborated if an initial sodium supplement of 2 mmol/kg/day </w:t>
      </w:r>
      <w:r w:rsidR="00782141">
        <w:rPr>
          <w:rFonts w:asciiTheme="minorHAnsi" w:hAnsiTheme="minorHAnsi" w:cs="Arial"/>
          <w:bCs/>
          <w:i/>
          <w:iCs/>
          <w:sz w:val="22"/>
          <w:szCs w:val="22"/>
        </w:rPr>
        <w:t xml:space="preserve">administered </w:t>
      </w:r>
      <w:r w:rsidR="00B41CF4" w:rsidRPr="00C32A7F">
        <w:rPr>
          <w:rFonts w:asciiTheme="minorHAnsi" w:hAnsiTheme="minorHAnsi" w:cs="Arial"/>
          <w:bCs/>
          <w:i/>
          <w:iCs/>
          <w:sz w:val="22"/>
          <w:szCs w:val="22"/>
        </w:rPr>
        <w:t>in divided doses results in an immediate increase in weight</w:t>
      </w:r>
      <w:r w:rsidR="0071799B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. The </w:t>
      </w:r>
      <w:r w:rsidR="00782141">
        <w:rPr>
          <w:rFonts w:asciiTheme="minorHAnsi" w:hAnsiTheme="minorHAnsi" w:cs="Arial"/>
          <w:bCs/>
          <w:i/>
          <w:iCs/>
          <w:sz w:val="22"/>
          <w:szCs w:val="22"/>
        </w:rPr>
        <w:t xml:space="preserve">amount of </w:t>
      </w:r>
      <w:r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subsequent </w:t>
      </w:r>
      <w:r w:rsidR="0071799B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sodium supplementation </w:t>
      </w:r>
      <w:r w:rsidR="00782141">
        <w:rPr>
          <w:rFonts w:asciiTheme="minorHAnsi" w:hAnsiTheme="minorHAnsi" w:cs="Arial"/>
          <w:bCs/>
          <w:i/>
          <w:iCs/>
          <w:sz w:val="22"/>
          <w:szCs w:val="22"/>
        </w:rPr>
        <w:t xml:space="preserve">required </w:t>
      </w:r>
      <w:r w:rsidR="0071799B" w:rsidRPr="00C32A7F">
        <w:rPr>
          <w:rFonts w:asciiTheme="minorHAnsi" w:hAnsiTheme="minorHAnsi" w:cs="Arial"/>
          <w:bCs/>
          <w:i/>
          <w:iCs/>
          <w:sz w:val="22"/>
          <w:szCs w:val="22"/>
        </w:rPr>
        <w:t xml:space="preserve">will be influenced by several factors including gestational age and renal maturity, diuretic treatment, and </w:t>
      </w:r>
      <w:r w:rsidRPr="00C32A7F">
        <w:rPr>
          <w:rFonts w:asciiTheme="minorHAnsi" w:hAnsiTheme="minorHAnsi" w:cs="Arial"/>
          <w:bCs/>
          <w:i/>
          <w:iCs/>
          <w:sz w:val="22"/>
          <w:szCs w:val="22"/>
        </w:rPr>
        <w:t>sodium content of feeds.</w:t>
      </w:r>
    </w:p>
    <w:p w14:paraId="2A0FFB63" w14:textId="77777777" w:rsidR="00E43931" w:rsidRPr="00782141" w:rsidRDefault="00E43931" w:rsidP="00D71C7A">
      <w:pPr>
        <w:pStyle w:val="ListParagraph"/>
        <w:contextualSpacing w:val="0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782141">
        <w:rPr>
          <w:rFonts w:asciiTheme="minorHAnsi" w:hAnsiTheme="minorHAnsi" w:cs="Arial"/>
          <w:b/>
          <w:sz w:val="22"/>
          <w:szCs w:val="22"/>
        </w:rPr>
        <w:t>AND</w:t>
      </w:r>
    </w:p>
    <w:p w14:paraId="71FEAFED" w14:textId="1E54633B" w:rsidR="000748C3" w:rsidRPr="00D71C7A" w:rsidRDefault="00782141" w:rsidP="00D71C7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Cs/>
          <w:sz w:val="22"/>
          <w:szCs w:val="22"/>
        </w:rPr>
        <w:t>There is n</w:t>
      </w:r>
      <w:r w:rsidR="000748C3" w:rsidRPr="00D71C7A">
        <w:rPr>
          <w:rFonts w:asciiTheme="minorHAnsi" w:hAnsiTheme="minorHAnsi" w:cs="Arial"/>
          <w:bCs/>
          <w:sz w:val="22"/>
          <w:szCs w:val="22"/>
        </w:rPr>
        <w:t>o severe intercurrent illness</w:t>
      </w:r>
    </w:p>
    <w:p w14:paraId="46C371E9" w14:textId="0B5FF771" w:rsidR="000437B8" w:rsidRPr="00C32A7F" w:rsidRDefault="00C32A7F" w:rsidP="00C32A7F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C32A7F">
        <w:rPr>
          <w:rFonts w:asciiTheme="minorHAnsi" w:hAnsiTheme="minorHAnsi" w:cs="Arial"/>
          <w:b/>
          <w:sz w:val="22"/>
          <w:szCs w:val="22"/>
          <w:shd w:val="clear" w:color="auto" w:fill="FFFFFF"/>
        </w:rPr>
        <w:t>5.2</w:t>
      </w:r>
      <w:r>
        <w:rPr>
          <w:rFonts w:asciiTheme="minorHAnsi" w:hAnsiTheme="minorHAnsi" w:cs="Arial"/>
          <w:bCs/>
          <w:sz w:val="22"/>
          <w:szCs w:val="22"/>
          <w:shd w:val="clear" w:color="auto" w:fill="FFFFFF"/>
        </w:rPr>
        <w:tab/>
      </w:r>
      <w:r w:rsidR="00843A2A" w:rsidRPr="00C32A7F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Discretionary </w:t>
      </w:r>
      <w:r w:rsidR="00D71C7A" w:rsidRPr="00C32A7F">
        <w:rPr>
          <w:rFonts w:asciiTheme="minorHAnsi" w:hAnsiTheme="minorHAnsi" w:cs="Arial"/>
          <w:bCs/>
          <w:sz w:val="22"/>
          <w:szCs w:val="22"/>
          <w:shd w:val="clear" w:color="auto" w:fill="FFFFFF"/>
        </w:rPr>
        <w:t>fortification</w:t>
      </w:r>
      <w:r w:rsidR="00843A2A" w:rsidRPr="00C32A7F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may also be considered if </w:t>
      </w:r>
    </w:p>
    <w:p w14:paraId="0CD6FD2B" w14:textId="77777777" w:rsidR="00C32A7F" w:rsidRDefault="000437B8" w:rsidP="00D71C7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A</w:t>
      </w:r>
      <w:r w:rsidR="00843A2A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baby is unable to tolerate a human milk volume of 180ml/kg/day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(e.g., </w:t>
      </w:r>
      <w:r w:rsidR="00EF22F9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treatment resistant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gastro-oesophageal reflux; high output stoma) </w:t>
      </w:r>
    </w:p>
    <w:p w14:paraId="08B03D18" w14:textId="77777777" w:rsidR="00C32A7F" w:rsidRPr="00782141" w:rsidRDefault="00C32A7F" w:rsidP="00C32A7F">
      <w:pPr>
        <w:pStyle w:val="ListParagraph"/>
        <w:contextualSpacing w:val="0"/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 w:rsidRPr="00782141">
        <w:rPr>
          <w:rFonts w:asciiTheme="minorHAnsi" w:hAnsiTheme="minorHAnsi" w:cs="Arial"/>
          <w:b/>
          <w:sz w:val="22"/>
          <w:szCs w:val="22"/>
          <w:shd w:val="clear" w:color="auto" w:fill="FFFFFF"/>
        </w:rPr>
        <w:t>AND</w:t>
      </w:r>
    </w:p>
    <w:p w14:paraId="59AB0C2E" w14:textId="2FF33553" w:rsidR="00843A2A" w:rsidRPr="00D71C7A" w:rsidRDefault="00C32A7F" w:rsidP="00C32A7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Cs/>
          <w:sz w:val="22"/>
          <w:szCs w:val="22"/>
          <w:shd w:val="clear" w:color="auto" w:fill="FFFFFF"/>
        </w:rPr>
        <w:t>T</w:t>
      </w:r>
      <w:r w:rsidR="000437B8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he conditions above </w:t>
      </w:r>
      <w:r>
        <w:rPr>
          <w:rFonts w:asciiTheme="minorHAnsi" w:hAnsiTheme="minorHAnsi" w:cs="Arial"/>
          <w:bCs/>
          <w:sz w:val="22"/>
          <w:szCs w:val="22"/>
          <w:shd w:val="clear" w:color="auto" w:fill="FFFFFF"/>
        </w:rPr>
        <w:t>under 5.1 apply</w:t>
      </w:r>
    </w:p>
    <w:p w14:paraId="5E6652AB" w14:textId="77777777" w:rsidR="00782141" w:rsidRDefault="00782141" w:rsidP="00D71C7A">
      <w:pPr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14:paraId="00FD045A" w14:textId="246C00C5" w:rsidR="00C32A7F" w:rsidRPr="00C32A7F" w:rsidRDefault="00782141" w:rsidP="00D71C7A">
      <w:pPr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="Arial"/>
          <w:b/>
          <w:sz w:val="22"/>
          <w:szCs w:val="22"/>
          <w:shd w:val="clear" w:color="auto" w:fill="FFFFFF"/>
        </w:rPr>
        <w:tab/>
      </w:r>
      <w:r w:rsidR="00C32A7F" w:rsidRPr="00C32A7F">
        <w:rPr>
          <w:rFonts w:asciiTheme="minorHAnsi" w:hAnsiTheme="minorHAnsi" w:cs="Arial"/>
          <w:b/>
          <w:sz w:val="22"/>
          <w:szCs w:val="22"/>
          <w:shd w:val="clear" w:color="auto" w:fill="FFFFFF"/>
        </w:rPr>
        <w:t>Trial procedures</w:t>
      </w:r>
    </w:p>
    <w:p w14:paraId="52B01414" w14:textId="2D646ED7" w:rsidR="000748C3" w:rsidRPr="00D71C7A" w:rsidRDefault="00C32A7F" w:rsidP="00D71C7A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Cs/>
          <w:sz w:val="22"/>
          <w:szCs w:val="22"/>
          <w:shd w:val="clear" w:color="auto" w:fill="FFFFFF"/>
        </w:rPr>
        <w:t>We ask that a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ny use of r</w:t>
      </w:r>
      <w:r w:rsidR="000748C3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escue fortification</w:t>
      </w:r>
      <w:r w:rsidR="00A06D33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and the reasons</w:t>
      </w:r>
      <w:r w:rsidR="000748C3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are 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d</w:t>
      </w:r>
      <w:r w:rsidR="000748C3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ocumented in the 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COLLABORATE </w:t>
      </w:r>
      <w:r w:rsidR="000748C3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eCRF</w:t>
      </w:r>
      <w:r w:rsidR="00DE1022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and entered into th</w:t>
      </w:r>
      <w:r w:rsidR="00A06D33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e</w:t>
      </w:r>
      <w:r w:rsidR="00DE1022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daily details of the baby’s Electronic Patient Record</w:t>
      </w:r>
      <w:r w:rsidR="00E43931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. </w:t>
      </w:r>
    </w:p>
    <w:p w14:paraId="2BF3199C" w14:textId="20E87233" w:rsidR="00A21518" w:rsidRPr="00D71C7A" w:rsidRDefault="00A21518" w:rsidP="00D71C7A">
      <w:pPr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Clinicians considering rescue fortification </w:t>
      </w:r>
      <w:r w:rsidR="00C32A7F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are requested to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discuss this with the clinical </w:t>
      </w:r>
      <w:r w:rsidR="00351296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Chief Investigator 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(Professor Neena Modi; n.modi@imperial.ac.uk) or Co-I</w:t>
      </w:r>
      <w:r w:rsidR="00351296"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>nvestigator</w:t>
      </w:r>
      <w:r w:rsidRPr="00D71C7A">
        <w:rPr>
          <w:rFonts w:asciiTheme="minorHAnsi" w:hAnsiTheme="minorHAnsi" w:cs="Arial"/>
          <w:bCs/>
          <w:sz w:val="22"/>
          <w:szCs w:val="22"/>
          <w:shd w:val="clear" w:color="auto" w:fill="FFFFFF"/>
        </w:rPr>
        <w:t xml:space="preserve"> (Dr Sabita Uthaya; s.uthaya@imperial.ac.uk). </w:t>
      </w:r>
    </w:p>
    <w:p w14:paraId="047AEC1F" w14:textId="77777777" w:rsidR="00782141" w:rsidRDefault="00782141" w:rsidP="00D71C7A">
      <w:pPr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</w:p>
    <w:p w14:paraId="728D00A0" w14:textId="167E4071" w:rsidR="003A449E" w:rsidRPr="00D71C7A" w:rsidRDefault="00782141" w:rsidP="00D71C7A">
      <w:pPr>
        <w:rPr>
          <w:rFonts w:asciiTheme="minorHAnsi" w:hAnsiTheme="minorHAnsi" w:cs="Arial"/>
          <w:b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/>
          <w:sz w:val="22"/>
          <w:szCs w:val="22"/>
          <w:shd w:val="clear" w:color="auto" w:fill="FFFFFF"/>
        </w:rPr>
        <w:t>7</w:t>
      </w:r>
      <w:r>
        <w:rPr>
          <w:rFonts w:asciiTheme="minorHAnsi" w:hAnsiTheme="minorHAnsi" w:cs="Arial"/>
          <w:b/>
          <w:sz w:val="22"/>
          <w:szCs w:val="22"/>
          <w:shd w:val="clear" w:color="auto" w:fill="FFFFFF"/>
        </w:rPr>
        <w:tab/>
      </w:r>
      <w:r w:rsidR="003A449E" w:rsidRPr="00D71C7A">
        <w:rPr>
          <w:rFonts w:asciiTheme="minorHAnsi" w:hAnsiTheme="minorHAnsi" w:cs="Arial"/>
          <w:b/>
          <w:sz w:val="22"/>
          <w:szCs w:val="22"/>
          <w:shd w:val="clear" w:color="auto" w:fill="FFFFFF"/>
        </w:rPr>
        <w:t>References</w:t>
      </w:r>
    </w:p>
    <w:p w14:paraId="69563B2A" w14:textId="77777777" w:rsidR="00D71C7A" w:rsidRPr="00D71C7A" w:rsidRDefault="00D71C7A" w:rsidP="00D71C7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D71C7A">
        <w:rPr>
          <w:rFonts w:asciiTheme="minorHAnsi" w:hAnsiTheme="minorHAnsi" w:cs="Arial"/>
          <w:sz w:val="22"/>
          <w:szCs w:val="22"/>
        </w:rPr>
        <w:t>Brown JV, Lin L, Embleton ND, Harding JE, McGuire W. Multi</w:t>
      </w:r>
      <w:r w:rsidRPr="00D71C7A">
        <w:rPr>
          <w:rFonts w:ascii="Cambria Math" w:hAnsi="Cambria Math" w:cs="Cambria Math"/>
          <w:sz w:val="22"/>
          <w:szCs w:val="22"/>
        </w:rPr>
        <w:t>‐</w:t>
      </w:r>
      <w:r w:rsidRPr="00D71C7A">
        <w:rPr>
          <w:rFonts w:asciiTheme="minorHAnsi" w:hAnsiTheme="minorHAnsi" w:cs="Arial"/>
          <w:sz w:val="22"/>
          <w:szCs w:val="22"/>
        </w:rPr>
        <w:t>nutrient fortification of human milk for preterm infants. Cochrane Database of Systematic Reviews 2020, Issue 6. Art. No.: CD000343. DOI: 10.1002/14651858.CD000343.pub4</w:t>
      </w:r>
    </w:p>
    <w:p w14:paraId="191651B3" w14:textId="465FD965" w:rsidR="00F64783" w:rsidRPr="00D71C7A" w:rsidRDefault="00F64783" w:rsidP="00D71C7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D71C7A">
        <w:rPr>
          <w:rFonts w:asciiTheme="minorHAnsi" w:hAnsiTheme="minorHAnsi" w:cs="Arial"/>
          <w:color w:val="212121"/>
          <w:sz w:val="22"/>
          <w:szCs w:val="22"/>
          <w:shd w:val="clear" w:color="auto" w:fill="FFFFFF"/>
        </w:rPr>
        <w:t>Das S, McClintock T, Cormack BE, et al. High protein intake on later outcomes in preterm children: a systematic review and meta-analysis. Pediatr Res. 2025; 97:67-80</w:t>
      </w:r>
    </w:p>
    <w:p w14:paraId="5796AB25" w14:textId="5152609A" w:rsidR="00051E8F" w:rsidRPr="00D71C7A" w:rsidRDefault="00051E8F" w:rsidP="00D71C7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hAnsiTheme="minorHAnsi"/>
          <w:bCs/>
          <w:sz w:val="22"/>
          <w:szCs w:val="22"/>
        </w:rPr>
      </w:pPr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Villar J, Giuliani F, Bhutta ZA, et al. International Fetal and Newborn Growth Consortium for the 21(</w:t>
      </w:r>
      <w:proofErr w:type="spellStart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st</w:t>
      </w:r>
      <w:proofErr w:type="spellEnd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) Century (INTERGROWTH-21(</w:t>
      </w:r>
      <w:proofErr w:type="spellStart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st</w:t>
      </w:r>
      <w:proofErr w:type="spellEnd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)). Postnatal growth standards for preterm infants: the Preterm Postnatal Follow-up Study of the INTERGROWTH-21(</w:t>
      </w:r>
      <w:proofErr w:type="spellStart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st</w:t>
      </w:r>
      <w:proofErr w:type="spellEnd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) Project. Lancet Glob Health. 2015; 3(11):</w:t>
      </w:r>
      <w:r w:rsid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 xml:space="preserve"> </w:t>
      </w:r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e681-91</w:t>
      </w:r>
    </w:p>
    <w:p w14:paraId="4A2824F2" w14:textId="77777777" w:rsidR="00D71C7A" w:rsidRPr="00D71C7A" w:rsidRDefault="00A76909" w:rsidP="00D71C7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lastRenderedPageBreak/>
        <w:t xml:space="preserve">Greenbury SF, Angelini ED, Ougham K, </w:t>
      </w:r>
      <w:r w:rsidR="00EF22F9"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et al</w:t>
      </w:r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 xml:space="preserve">. Birthweight and patterns of postnatal weight gain in very and extremely preterm babies in England and Wales, 2008-19: a cohort study. Lancet Child </w:t>
      </w:r>
      <w:proofErr w:type="spellStart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Adolesc</w:t>
      </w:r>
      <w:proofErr w:type="spellEnd"/>
      <w:r w:rsidRPr="00D71C7A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 xml:space="preserve"> </w:t>
      </w:r>
      <w:r w:rsidRPr="00D71C7A">
        <w:rPr>
          <w:rFonts w:asciiTheme="minorHAnsi" w:hAnsiTheme="minorHAnsi" w:cs="Segoe UI"/>
          <w:sz w:val="22"/>
          <w:szCs w:val="22"/>
          <w:shd w:val="clear" w:color="auto" w:fill="FFFFFF"/>
        </w:rPr>
        <w:t>Health 2021</w:t>
      </w:r>
      <w:r w:rsidR="00EF22F9" w:rsidRPr="00D71C7A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; </w:t>
      </w:r>
      <w:r w:rsidRPr="00D71C7A">
        <w:rPr>
          <w:rFonts w:asciiTheme="minorHAnsi" w:hAnsiTheme="minorHAnsi" w:cs="Segoe UI"/>
          <w:sz w:val="22"/>
          <w:szCs w:val="22"/>
          <w:shd w:val="clear" w:color="auto" w:fill="FFFFFF"/>
        </w:rPr>
        <w:t>5:719-28</w:t>
      </w:r>
    </w:p>
    <w:p w14:paraId="48D488B0" w14:textId="77777777" w:rsidR="0071799B" w:rsidRPr="00D71C7A" w:rsidRDefault="0071799B" w:rsidP="0071799B">
      <w:pPr>
        <w:pStyle w:val="ListParagraph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D71C7A">
        <w:rPr>
          <w:rFonts w:asciiTheme="minorHAnsi" w:hAnsiTheme="minorHAnsi" w:cs="Arial"/>
          <w:sz w:val="22"/>
          <w:szCs w:val="22"/>
          <w:lang w:eastAsia="en-GB"/>
        </w:rPr>
        <w:t>Greenbury S, Ougham K, Wu J, et al Variation in nutritional practice in neonatal units in England and association with outcomes using agnostic machine learning. Sci Rep 2021; 11:7178</w:t>
      </w:r>
    </w:p>
    <w:p w14:paraId="34FA7EC5" w14:textId="77777777" w:rsidR="00C32A7F" w:rsidRPr="00D71C7A" w:rsidRDefault="00C32A7F" w:rsidP="00C32A7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D71C7A">
        <w:rPr>
          <w:rFonts w:asciiTheme="minorHAnsi" w:hAnsiTheme="minorHAnsi" w:cs="Arial"/>
          <w:sz w:val="22"/>
          <w:szCs w:val="22"/>
          <w:lang w:eastAsia="en-GB"/>
        </w:rPr>
        <w:t xml:space="preserve">Mills L, Chappell KE, Emsley R, et al Preterm formula, fortified or unfortified human milk for very preterm infants, the PREMFOOD study, a parallel, randomised feasibility trial Neonatology 2023 Dec 13:1-11 </w:t>
      </w:r>
    </w:p>
    <w:p w14:paraId="087B9ED9" w14:textId="461F8454" w:rsidR="00D71C7A" w:rsidRPr="00D71C7A" w:rsidRDefault="00D71C7A" w:rsidP="00D71C7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D71C7A">
        <w:rPr>
          <w:rStyle w:val="docsum-authors"/>
          <w:rFonts w:asciiTheme="minorHAnsi" w:eastAsiaTheme="majorEastAsia" w:hAnsiTheme="minorHAnsi" w:cs="Segoe UI"/>
          <w:sz w:val="22"/>
          <w:szCs w:val="22"/>
        </w:rPr>
        <w:t xml:space="preserve">Modi N. </w:t>
      </w:r>
      <w:r w:rsidRPr="00D71C7A">
        <w:rPr>
          <w:rFonts w:asciiTheme="minorHAnsi" w:eastAsiaTheme="majorEastAsia" w:hAnsiTheme="minorHAnsi" w:cs="Segoe UI"/>
          <w:sz w:val="22"/>
          <w:szCs w:val="22"/>
          <w:shd w:val="clear" w:color="auto" w:fill="FFFFFF"/>
        </w:rPr>
        <w:t xml:space="preserve">Management of fluid balance in the very immature neonate. </w:t>
      </w:r>
      <w:r w:rsidRPr="00D71C7A">
        <w:rPr>
          <w:rStyle w:val="docsum-journal-citation"/>
          <w:rFonts w:asciiTheme="minorHAnsi" w:eastAsiaTheme="majorEastAsia" w:hAnsiTheme="minorHAnsi" w:cs="Segoe UI"/>
          <w:sz w:val="22"/>
          <w:szCs w:val="22"/>
        </w:rPr>
        <w:t>Arch Dis Child Fetal Neonatal Ed 2004; 89: F108-11</w:t>
      </w:r>
    </w:p>
    <w:p w14:paraId="12356477" w14:textId="77777777" w:rsidR="00051E8F" w:rsidRPr="00D71C7A" w:rsidRDefault="00051E8F" w:rsidP="00D71C7A">
      <w:pPr>
        <w:pStyle w:val="ListParagraph"/>
        <w:autoSpaceDE w:val="0"/>
        <w:autoSpaceDN w:val="0"/>
        <w:adjustRightInd w:val="0"/>
        <w:ind w:left="284"/>
        <w:contextualSpacing w:val="0"/>
        <w:rPr>
          <w:rFonts w:asciiTheme="minorHAnsi" w:hAnsiTheme="minorHAnsi"/>
          <w:bCs/>
          <w:sz w:val="22"/>
          <w:szCs w:val="22"/>
        </w:rPr>
      </w:pPr>
    </w:p>
    <w:sectPr w:rsidR="00051E8F" w:rsidRPr="00D71C7A" w:rsidSect="00B41CF4">
      <w:footerReference w:type="default" r:id="rId8"/>
      <w:pgSz w:w="11906" w:h="16838" w:code="9"/>
      <w:pgMar w:top="1134" w:right="1021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B6F4" w14:textId="77777777" w:rsidR="00437D5E" w:rsidRDefault="00437D5E" w:rsidP="00EF22F9">
      <w:pPr>
        <w:spacing w:after="0"/>
      </w:pPr>
      <w:r>
        <w:separator/>
      </w:r>
    </w:p>
  </w:endnote>
  <w:endnote w:type="continuationSeparator" w:id="0">
    <w:p w14:paraId="656D6F56" w14:textId="77777777" w:rsidR="00437D5E" w:rsidRDefault="00437D5E" w:rsidP="00EF22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-4544860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2D9D53" w14:textId="4B5EF74D" w:rsidR="00EF22F9" w:rsidRPr="00EF22F9" w:rsidRDefault="00EF22F9" w:rsidP="00EF22F9">
            <w:pPr>
              <w:pStyle w:val="Foo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COLLABORATE/Recue Fortification/V1.</w:t>
            </w:r>
            <w:r w:rsidR="00E405B9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/</w:t>
            </w:r>
            <w:r w:rsidR="00E405B9">
              <w:rPr>
                <w:rFonts w:asciiTheme="minorHAnsi" w:hAnsiTheme="minorHAnsi"/>
                <w:sz w:val="16"/>
                <w:szCs w:val="16"/>
              </w:rPr>
              <w:t>080126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EF22F9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Pr="00EF22F9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EF22F9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Pr="00EF22F9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EF22F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7E673" w14:textId="77777777" w:rsidR="00EF22F9" w:rsidRDefault="00EF2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DEB7" w14:textId="77777777" w:rsidR="00437D5E" w:rsidRDefault="00437D5E" w:rsidP="00EF22F9">
      <w:pPr>
        <w:spacing w:after="0"/>
      </w:pPr>
      <w:r>
        <w:separator/>
      </w:r>
    </w:p>
  </w:footnote>
  <w:footnote w:type="continuationSeparator" w:id="0">
    <w:p w14:paraId="55B62319" w14:textId="77777777" w:rsidR="00437D5E" w:rsidRDefault="00437D5E" w:rsidP="00EF2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744"/>
    <w:multiLevelType w:val="hybridMultilevel"/>
    <w:tmpl w:val="D5AE14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7B1A"/>
    <w:multiLevelType w:val="hybridMultilevel"/>
    <w:tmpl w:val="3FB0BBE8"/>
    <w:lvl w:ilvl="0" w:tplc="DFAC7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4D60"/>
    <w:multiLevelType w:val="hybridMultilevel"/>
    <w:tmpl w:val="8242BED6"/>
    <w:lvl w:ilvl="0" w:tplc="9F6673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60E0A"/>
    <w:multiLevelType w:val="hybridMultilevel"/>
    <w:tmpl w:val="7304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52A2E"/>
    <w:multiLevelType w:val="hybridMultilevel"/>
    <w:tmpl w:val="D5AE14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7CD2"/>
    <w:multiLevelType w:val="hybridMultilevel"/>
    <w:tmpl w:val="A5A679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606F"/>
    <w:multiLevelType w:val="hybridMultilevel"/>
    <w:tmpl w:val="6C706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370D7"/>
    <w:multiLevelType w:val="hybridMultilevel"/>
    <w:tmpl w:val="6D5AA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75989"/>
    <w:multiLevelType w:val="multilevel"/>
    <w:tmpl w:val="3BBC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5126372">
    <w:abstractNumId w:val="7"/>
  </w:num>
  <w:num w:numId="2" w16cid:durableId="611933763">
    <w:abstractNumId w:val="8"/>
  </w:num>
  <w:num w:numId="3" w16cid:durableId="1145198225">
    <w:abstractNumId w:val="3"/>
  </w:num>
  <w:num w:numId="4" w16cid:durableId="1594823152">
    <w:abstractNumId w:val="0"/>
  </w:num>
  <w:num w:numId="5" w16cid:durableId="1666936008">
    <w:abstractNumId w:val="4"/>
  </w:num>
  <w:num w:numId="6" w16cid:durableId="1936018438">
    <w:abstractNumId w:val="5"/>
  </w:num>
  <w:num w:numId="7" w16cid:durableId="1813447580">
    <w:abstractNumId w:val="6"/>
  </w:num>
  <w:num w:numId="8" w16cid:durableId="1451902678">
    <w:abstractNumId w:val="2"/>
  </w:num>
  <w:num w:numId="9" w16cid:durableId="134554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C3"/>
    <w:rsid w:val="000437B8"/>
    <w:rsid w:val="00051E8F"/>
    <w:rsid w:val="000748C3"/>
    <w:rsid w:val="000860FE"/>
    <w:rsid w:val="001B4547"/>
    <w:rsid w:val="00202BE6"/>
    <w:rsid w:val="002F0B04"/>
    <w:rsid w:val="00343C57"/>
    <w:rsid w:val="00351296"/>
    <w:rsid w:val="00387011"/>
    <w:rsid w:val="003A449E"/>
    <w:rsid w:val="003F522F"/>
    <w:rsid w:val="00437D5E"/>
    <w:rsid w:val="004402EE"/>
    <w:rsid w:val="004F0C56"/>
    <w:rsid w:val="004F3CB7"/>
    <w:rsid w:val="00671797"/>
    <w:rsid w:val="0071799B"/>
    <w:rsid w:val="00763702"/>
    <w:rsid w:val="00782141"/>
    <w:rsid w:val="00843A2A"/>
    <w:rsid w:val="00844FFC"/>
    <w:rsid w:val="008B5C10"/>
    <w:rsid w:val="008C2BFA"/>
    <w:rsid w:val="00936E75"/>
    <w:rsid w:val="00A06D33"/>
    <w:rsid w:val="00A21518"/>
    <w:rsid w:val="00A76909"/>
    <w:rsid w:val="00AE0948"/>
    <w:rsid w:val="00B0108A"/>
    <w:rsid w:val="00B41CF4"/>
    <w:rsid w:val="00B453B9"/>
    <w:rsid w:val="00B8603A"/>
    <w:rsid w:val="00C32A7F"/>
    <w:rsid w:val="00C42133"/>
    <w:rsid w:val="00D71C7A"/>
    <w:rsid w:val="00DA6FD3"/>
    <w:rsid w:val="00DE1022"/>
    <w:rsid w:val="00E405B9"/>
    <w:rsid w:val="00E43931"/>
    <w:rsid w:val="00EE703C"/>
    <w:rsid w:val="00EF22F9"/>
    <w:rsid w:val="00F64783"/>
    <w:rsid w:val="00FA409D"/>
    <w:rsid w:val="00F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5949"/>
  <w15:chartTrackingRefBased/>
  <w15:docId w15:val="{12418D3A-9E05-42C9-A767-875BC258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C3"/>
    <w:pPr>
      <w:spacing w:after="12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7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748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8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8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8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8C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8C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8C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8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8C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8C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3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22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22F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2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22F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Protocol-maintext">
    <w:name w:val="Protocol - main text"/>
    <w:basedOn w:val="Normal"/>
    <w:link w:val="Protocol-maintextChar1"/>
    <w:rsid w:val="00A21518"/>
    <w:pPr>
      <w:tabs>
        <w:tab w:val="left" w:pos="-142"/>
      </w:tabs>
      <w:jc w:val="both"/>
    </w:pPr>
    <w:rPr>
      <w:rFonts w:ascii="Times New Roman" w:hAnsi="Times New Roman"/>
      <w:szCs w:val="24"/>
    </w:rPr>
  </w:style>
  <w:style w:type="character" w:customStyle="1" w:styleId="Protocol-maintextChar1">
    <w:name w:val="Protocol - main text Char1"/>
    <w:basedOn w:val="DefaultParagraphFont"/>
    <w:link w:val="Protocol-maintext"/>
    <w:rsid w:val="00A2151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870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0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01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011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customStyle="1" w:styleId="docsum-authors">
    <w:name w:val="docsum-authors"/>
    <w:basedOn w:val="DefaultParagraphFont"/>
    <w:rsid w:val="00D71C7A"/>
  </w:style>
  <w:style w:type="character" w:customStyle="1" w:styleId="docsum-journal-citation">
    <w:name w:val="docsum-journal-citation"/>
    <w:basedOn w:val="DefaultParagraphFont"/>
    <w:rsid w:val="00D7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neonatal-data-analysis-unit/collabor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Modi, Neena</dc:creator>
  <cp:keywords/>
  <dc:description/>
  <cp:lastModifiedBy>Modi, Neena</cp:lastModifiedBy>
  <cp:revision>2</cp:revision>
  <dcterms:created xsi:type="dcterms:W3CDTF">2026-01-08T05:27:00Z</dcterms:created>
  <dcterms:modified xsi:type="dcterms:W3CDTF">2026-01-08T05:27:00Z</dcterms:modified>
</cp:coreProperties>
</file>